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51DC" w:rsidRDefault="007572FC" w:rsidP="007572FC">
      <w:pPr>
        <w:pStyle w:val="Docketnumber"/>
      </w:pPr>
      <w:bookmarkStart w:id="0" w:name="_GoBack"/>
      <w:bookmarkEnd w:id="0"/>
      <w:r>
        <w:t xml:space="preserve">PUC DOCKET NO. </w:t>
      </w:r>
      <w:r w:rsidR="0094663F">
        <w:t>48454</w:t>
      </w:r>
      <w:r>
        <w:br/>
        <w:t>SOAH DOCKET NO. 473-1</w:t>
      </w:r>
      <w:r w:rsidR="007E7427">
        <w:t>9</w:t>
      </w:r>
      <w:r>
        <w:t>-</w:t>
      </w:r>
      <w:r w:rsidR="0094663F">
        <w:t>6762.WS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58355F" w:rsidP="001E360C">
            <w:pPr>
              <w:pStyle w:val="Docketstyle"/>
            </w:pPr>
            <w:r>
              <w:t>COMPLAINT OF NZINGA HUGHES AGAINST THE TRAIL AT DOMINION PARK, AB-GO TRAILS AT DOMINION PARK PROPCO, LLC, NWP SERVICES CORPORATION, HARRIS COUNTY MUNICIPAL UTILITY DISTRICT NO. 215, AND GOLDOLLER REAL ESTATE INVESTMENTS</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p w:rsidR="0058355F" w:rsidRDefault="0058355F" w:rsidP="001E360C">
            <w:pPr>
              <w:pStyle w:val="Docketstyle"/>
            </w:pPr>
            <w:r>
              <w:t>§</w:t>
            </w:r>
          </w:p>
          <w:p w:rsidR="0058355F" w:rsidRDefault="0058355F" w:rsidP="001E360C">
            <w:pPr>
              <w:pStyle w:val="Docketstyle"/>
            </w:pPr>
            <w:r>
              <w:t>§</w:t>
            </w:r>
          </w:p>
          <w:p w:rsidR="0058355F" w:rsidRDefault="0058355F" w:rsidP="001E360C">
            <w:pPr>
              <w:pStyle w:val="Docketstyle"/>
            </w:pPr>
            <w:r>
              <w:t>§</w:t>
            </w:r>
          </w:p>
          <w:p w:rsidR="0058355F" w:rsidRDefault="0058355F" w:rsidP="001E360C">
            <w:pPr>
              <w:pStyle w:val="Docketstyle"/>
            </w:pPr>
            <w:r>
              <w:t>§</w:t>
            </w:r>
          </w:p>
          <w:p w:rsidR="0058355F" w:rsidRDefault="0058355F"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46644C" w:rsidP="00C54659">
      <w:pPr>
        <w:pStyle w:val="Titleoforder"/>
      </w:pPr>
      <w:r>
        <w:t>DRAFT PRELIMINARY ORDER</w:t>
      </w:r>
    </w:p>
    <w:p w:rsidR="00266F9F" w:rsidRDefault="0094663F" w:rsidP="00266F9F">
      <w:pPr>
        <w:pStyle w:val="BodyText"/>
      </w:pPr>
      <w:r>
        <w:t>Nzinga Hughes</w:t>
      </w:r>
      <w:r w:rsidR="006F2036">
        <w:t xml:space="preserve"> filed a</w:t>
      </w:r>
      <w:r w:rsidR="00266F9F">
        <w:t xml:space="preserve"> </w:t>
      </w:r>
      <w:r>
        <w:t>complaint</w:t>
      </w:r>
      <w:r w:rsidR="00266F9F">
        <w:t xml:space="preserve"> </w:t>
      </w:r>
      <w:r>
        <w:t>against The Trails at Dominion Park, Ab-Go Trails at Dominion Park Propco, LLC, NWP Service Corporation, Harris County Municipal Utility District No. 215</w:t>
      </w:r>
      <w:r w:rsidR="00E85462">
        <w:t xml:space="preserve"> (</w:t>
      </w:r>
      <w:r w:rsidR="00EA20F0">
        <w:t>the district</w:t>
      </w:r>
      <w:r w:rsidR="00E85462">
        <w:t>)</w:t>
      </w:r>
      <w:r>
        <w:t>, and Goldoller Real Estate Investments</w:t>
      </w:r>
      <w:r w:rsidR="0019292F">
        <w:t xml:space="preserve"> </w:t>
      </w:r>
      <w:r w:rsidR="007045BB">
        <w:t xml:space="preserve">(respondents) </w:t>
      </w:r>
      <w:r w:rsidR="00266F9F">
        <w:t xml:space="preserve">to </w:t>
      </w:r>
      <w:r>
        <w:t>recover restitution from respondent</w:t>
      </w:r>
      <w:r w:rsidR="007045BB">
        <w:t>s</w:t>
      </w:r>
      <w:r>
        <w:t xml:space="preserve"> for water and wastewater service overcharges </w:t>
      </w:r>
      <w:r w:rsidR="007E7427">
        <w:t>under</w:t>
      </w:r>
      <w:r w:rsidRPr="0094663F">
        <w:t xml:space="preserve"> </w:t>
      </w:r>
      <w:r>
        <w:t>Tex</w:t>
      </w:r>
      <w:r w:rsidR="00826B62">
        <w:t>as</w:t>
      </w:r>
      <w:r>
        <w:t xml:space="preserve"> Water Code</w:t>
      </w:r>
      <w:r w:rsidR="007E7427">
        <w:t xml:space="preserve"> </w:t>
      </w:r>
      <w:r w:rsidR="007045BB">
        <w:t>(TWC)</w:t>
      </w:r>
      <w:r w:rsidR="007E7427">
        <w:t> </w:t>
      </w:r>
      <w:r>
        <w:t>§</w:t>
      </w:r>
      <w:r w:rsidR="007045BB">
        <w:t> </w:t>
      </w:r>
      <w:r>
        <w:t>13.505(c).</w:t>
      </w:r>
      <w:r>
        <w:rPr>
          <w:rStyle w:val="FootnoteReference"/>
        </w:rPr>
        <w:footnoteReference w:id="1"/>
      </w:r>
      <w:r w:rsidR="00677B5E">
        <w:t xml:space="preserve"> </w:t>
      </w:r>
      <w:r w:rsidR="00E501AF">
        <w:t xml:space="preserve"> </w:t>
      </w:r>
      <w:r w:rsidR="006F2036">
        <w:t>This preliminary order identifies the issues that must be addressed</w:t>
      </w:r>
      <w:r w:rsidR="00C342ED">
        <w:t xml:space="preserve"> and</w:t>
      </w:r>
      <w:r w:rsidR="006F2036">
        <w:t xml:space="preserve"> the issues that shall not be addressed.</w:t>
      </w:r>
    </w:p>
    <w:p w:rsidR="0019292F" w:rsidRDefault="008660D4" w:rsidP="008660D4">
      <w:pPr>
        <w:pStyle w:val="BodyText"/>
      </w:pPr>
      <w:r>
        <w:t>Ms. Hughes filed a formal complaint against respondents on June 11, 2018, and the Commission referred the complaint to the State Office of Administrative Hearings (SOAH) on August 16, 2019</w:t>
      </w:r>
      <w:r w:rsidR="00E45836">
        <w:t>.</w:t>
      </w:r>
      <w:r>
        <w:t xml:space="preserve"> </w:t>
      </w:r>
      <w:r w:rsidR="00E501AF">
        <w:t xml:space="preserve"> </w:t>
      </w:r>
      <w:r w:rsidR="006F2036">
        <w:t>The applicant</w:t>
      </w:r>
      <w:r w:rsidR="0019292F">
        <w:t xml:space="preserve"> alleges </w:t>
      </w:r>
      <w:r w:rsidR="001803B9">
        <w:t xml:space="preserve">the following violations of the provisions of </w:t>
      </w:r>
      <w:r w:rsidR="00A23A08">
        <w:t xml:space="preserve">16 </w:t>
      </w:r>
      <w:r w:rsidR="001803B9">
        <w:t>Texas Administrative Code</w:t>
      </w:r>
      <w:r w:rsidR="00826B62">
        <w:t xml:space="preserve"> (TAC) § 24</w:t>
      </w:r>
      <w:r w:rsidR="001803B9">
        <w:t>:</w:t>
      </w:r>
    </w:p>
    <w:p w:rsidR="00E85727" w:rsidRDefault="00E85727" w:rsidP="008F7780">
      <w:pPr>
        <w:pStyle w:val="BodyText"/>
        <w:numPr>
          <w:ilvl w:val="0"/>
          <w:numId w:val="11"/>
        </w:numPr>
        <w:ind w:left="900" w:hanging="540"/>
      </w:pPr>
      <w:r>
        <w:t>Respondents failed to make records concerning applicant’s utility service available for inspection at the apartment house’s on-site manager’s office during normal business hours.</w:t>
      </w:r>
      <w:r>
        <w:rPr>
          <w:rStyle w:val="FootnoteReference"/>
        </w:rPr>
        <w:footnoteReference w:id="2"/>
      </w:r>
    </w:p>
    <w:p w:rsidR="008F7780" w:rsidRDefault="00823E25" w:rsidP="008F7780">
      <w:pPr>
        <w:pStyle w:val="BodyText"/>
        <w:numPr>
          <w:ilvl w:val="0"/>
          <w:numId w:val="11"/>
        </w:numPr>
        <w:ind w:left="900" w:hanging="540"/>
      </w:pPr>
      <w:r>
        <w:lastRenderedPageBreak/>
        <w:t>Respondent’s rental agreement with applicant contains an insufficient</w:t>
      </w:r>
      <w:r w:rsidR="008F7780">
        <w:t xml:space="preserve"> </w:t>
      </w:r>
      <w:r w:rsidR="00B1629A">
        <w:t>description of</w:t>
      </w:r>
      <w:r w:rsidR="008F7780">
        <w:t xml:space="preserve"> the billing methodology</w:t>
      </w:r>
      <w:r>
        <w:t xml:space="preserve"> of the apartment house’s utility service</w:t>
      </w:r>
      <w:r w:rsidR="008F7780" w:rsidRPr="00CF12CE">
        <w:t>;</w:t>
      </w:r>
      <w:r w:rsidR="008F7780">
        <w:rPr>
          <w:rStyle w:val="FootnoteReference"/>
        </w:rPr>
        <w:footnoteReference w:id="3"/>
      </w:r>
    </w:p>
    <w:p w:rsidR="008F7780" w:rsidRDefault="00B1629A" w:rsidP="008F7780">
      <w:pPr>
        <w:pStyle w:val="BodyText"/>
        <w:numPr>
          <w:ilvl w:val="0"/>
          <w:numId w:val="11"/>
        </w:numPr>
        <w:ind w:left="900" w:hanging="540"/>
      </w:pPr>
      <w:r>
        <w:t>Respondents</w:t>
      </w:r>
      <w:r w:rsidR="008F7780">
        <w:t xml:space="preserve"> </w:t>
      </w:r>
      <w:r>
        <w:t xml:space="preserve">altered applicant’s </w:t>
      </w:r>
      <w:r w:rsidR="008F7780">
        <w:t>utility</w:t>
      </w:r>
      <w:r w:rsidR="008660D4">
        <w:t>-</w:t>
      </w:r>
      <w:r w:rsidR="008F7780">
        <w:t>service billing methodology</w:t>
      </w:r>
      <w:r>
        <w:t xml:space="preserve"> without her authorization</w:t>
      </w:r>
      <w:r w:rsidR="008F7780">
        <w:t xml:space="preserve"> and </w:t>
      </w:r>
      <w:r>
        <w:t>failed</w:t>
      </w:r>
      <w:r w:rsidR="008F7780">
        <w:t xml:space="preserve"> to provide notice of </w:t>
      </w:r>
      <w:r>
        <w:t>the change in utility</w:t>
      </w:r>
      <w:r w:rsidR="008660D4">
        <w:t>-</w:t>
      </w:r>
      <w:r>
        <w:t>service billing methodology</w:t>
      </w:r>
      <w:r w:rsidR="008F7780">
        <w:t>;</w:t>
      </w:r>
      <w:r w:rsidR="008F7780">
        <w:rPr>
          <w:rStyle w:val="FootnoteReference"/>
        </w:rPr>
        <w:footnoteReference w:id="4"/>
      </w:r>
    </w:p>
    <w:p w:rsidR="00615148" w:rsidRDefault="00823E25" w:rsidP="008F7780">
      <w:pPr>
        <w:pStyle w:val="BodyText"/>
        <w:numPr>
          <w:ilvl w:val="0"/>
          <w:numId w:val="11"/>
        </w:numPr>
        <w:ind w:left="900" w:hanging="540"/>
      </w:pPr>
      <w:r>
        <w:t>Respondent’s</w:t>
      </w:r>
      <w:r w:rsidR="00B1629A">
        <w:t xml:space="preserve"> utility</w:t>
      </w:r>
      <w:r w:rsidR="00E167F4">
        <w:t>-</w:t>
      </w:r>
      <w:r w:rsidR="00B1629A">
        <w:t>service bill includes a fee billed to the owner of the apartment house by a retail public utility, which is impermissible under the Commission’s substantive rules;</w:t>
      </w:r>
      <w:r w:rsidR="00B1629A">
        <w:rPr>
          <w:rStyle w:val="FootnoteReference"/>
        </w:rPr>
        <w:footnoteReference w:id="5"/>
      </w:r>
    </w:p>
    <w:p w:rsidR="00C94B31" w:rsidRDefault="00C94B31" w:rsidP="008F7780">
      <w:pPr>
        <w:pStyle w:val="BodyText"/>
        <w:numPr>
          <w:ilvl w:val="0"/>
          <w:numId w:val="11"/>
        </w:numPr>
        <w:ind w:left="900" w:hanging="540"/>
      </w:pPr>
      <w:r>
        <w:t>Respondents inappropriately billed applicant for dwelling</w:t>
      </w:r>
      <w:r w:rsidR="008660D4">
        <w:t>-</w:t>
      </w:r>
      <w:r>
        <w:t>unit</w:t>
      </w:r>
      <w:r w:rsidR="00BF17B1">
        <w:noBreakHyphen/>
      </w:r>
      <w:r>
        <w:t>base charges applicable to unoccupied dwelling units.</w:t>
      </w:r>
      <w:r>
        <w:rPr>
          <w:rStyle w:val="FootnoteReference"/>
        </w:rPr>
        <w:footnoteReference w:id="6"/>
      </w:r>
    </w:p>
    <w:p w:rsidR="008F7780" w:rsidRDefault="00B1629A" w:rsidP="008F7780">
      <w:pPr>
        <w:pStyle w:val="BodyText"/>
        <w:numPr>
          <w:ilvl w:val="0"/>
          <w:numId w:val="11"/>
        </w:numPr>
        <w:ind w:left="900" w:hanging="540"/>
      </w:pPr>
      <w:r>
        <w:t>Respondents improperly</w:t>
      </w:r>
      <w:r w:rsidR="008F7780">
        <w:t xml:space="preserve"> </w:t>
      </w:r>
      <w:r>
        <w:t>calculated applicant’s</w:t>
      </w:r>
      <w:r w:rsidR="008F7780">
        <w:t xml:space="preserve"> monthly allocated water and sewer utility</w:t>
      </w:r>
      <w:r w:rsidR="00B15180">
        <w:noBreakHyphen/>
      </w:r>
      <w:r w:rsidR="008F7780">
        <w:t>service bill;</w:t>
      </w:r>
      <w:r w:rsidR="008F7780">
        <w:rPr>
          <w:rStyle w:val="FootnoteReference"/>
        </w:rPr>
        <w:footnoteReference w:id="7"/>
      </w:r>
    </w:p>
    <w:p w:rsidR="008F7780" w:rsidRDefault="00B1629A" w:rsidP="008F7780">
      <w:pPr>
        <w:pStyle w:val="BodyText"/>
        <w:numPr>
          <w:ilvl w:val="0"/>
          <w:numId w:val="11"/>
        </w:numPr>
        <w:ind w:left="900" w:hanging="540"/>
      </w:pPr>
      <w:r>
        <w:t>Respondents failed</w:t>
      </w:r>
      <w:r w:rsidR="008F7780">
        <w:t xml:space="preserve"> to provide a sufficiently clear description of </w:t>
      </w:r>
      <w:r>
        <w:t>applicant’s</w:t>
      </w:r>
      <w:r w:rsidR="008F7780">
        <w:t xml:space="preserve"> utility service on her monthly bill</w:t>
      </w:r>
      <w:r w:rsidR="00C90A9A">
        <w:t>;</w:t>
      </w:r>
      <w:r w:rsidR="008F7780">
        <w:rPr>
          <w:rStyle w:val="FootnoteReference"/>
        </w:rPr>
        <w:footnoteReference w:id="8"/>
      </w:r>
    </w:p>
    <w:p w:rsidR="008F67AC" w:rsidRDefault="00B1629A" w:rsidP="008F7780">
      <w:pPr>
        <w:pStyle w:val="BodyText"/>
        <w:numPr>
          <w:ilvl w:val="0"/>
          <w:numId w:val="11"/>
        </w:numPr>
        <w:ind w:left="900" w:hanging="540"/>
      </w:pPr>
      <w:r>
        <w:lastRenderedPageBreak/>
        <w:t>Respondents</w:t>
      </w:r>
      <w:r w:rsidR="008F67AC">
        <w:t xml:space="preserve"> </w:t>
      </w:r>
      <w:r>
        <w:t>levied</w:t>
      </w:r>
      <w:r w:rsidR="008F67AC">
        <w:t xml:space="preserve"> late fees </w:t>
      </w:r>
      <w:r w:rsidR="00165E73">
        <w:t>greater than</w:t>
      </w:r>
      <w:r w:rsidR="008F67AC">
        <w:t xml:space="preserve"> the 5% limit </w:t>
      </w:r>
      <w:r w:rsidR="00454FBF">
        <w:t>on administrative fees on the</w:t>
      </w:r>
      <w:r w:rsidR="008F67AC">
        <w:t xml:space="preserve"> late payment of utility service charges</w:t>
      </w:r>
      <w:r w:rsidR="008660D4">
        <w:t>.</w:t>
      </w:r>
      <w:r w:rsidR="008F67AC">
        <w:rPr>
          <w:rStyle w:val="FootnoteReference"/>
        </w:rPr>
        <w:footnoteReference w:id="9"/>
      </w:r>
    </w:p>
    <w:p w:rsidR="00F24715" w:rsidRPr="00072737" w:rsidRDefault="008660D4" w:rsidP="00266F9F">
      <w:pPr>
        <w:pStyle w:val="BodyText"/>
        <w:rPr>
          <w:i/>
          <w:color w:val="0070C0"/>
        </w:rPr>
      </w:pPr>
      <w:r>
        <w:t xml:space="preserve">The ALJ dismissed </w:t>
      </w:r>
      <w:r w:rsidR="00EA20F0">
        <w:t>the district</w:t>
      </w:r>
      <w:r>
        <w:t xml:space="preserve"> from this case for lack of subject matter jurisdiction on July</w:t>
      </w:r>
      <w:r w:rsidR="001B2125">
        <w:t> </w:t>
      </w:r>
      <w:r>
        <w:t>2, 2018.</w:t>
      </w:r>
      <w:r>
        <w:rPr>
          <w:rStyle w:val="FootnoteReference"/>
        </w:rPr>
        <w:footnoteReference w:id="10"/>
      </w:r>
      <w:r>
        <w:t xml:space="preserve"> </w:t>
      </w:r>
      <w:r w:rsidR="00E501AF">
        <w:t xml:space="preserve"> </w:t>
      </w:r>
      <w:r w:rsidR="00E85727">
        <w:t xml:space="preserve">Ms. Hughes and </w:t>
      </w:r>
      <w:r>
        <w:t xml:space="preserve">remaining </w:t>
      </w:r>
      <w:r w:rsidR="00E85727">
        <w:t>r</w:t>
      </w:r>
      <w:r>
        <w:t>e</w:t>
      </w:r>
      <w:r w:rsidR="00E85727">
        <w:t>spondents</w:t>
      </w:r>
      <w:r w:rsidR="00F24715">
        <w:t xml:space="preserve"> w</w:t>
      </w:r>
      <w:r w:rsidR="00E85727">
        <w:t>ere</w:t>
      </w:r>
      <w:r w:rsidR="00F24715">
        <w:t xml:space="preserve"> </w:t>
      </w:r>
      <w:r w:rsidR="00F37AA1">
        <w:t>directed</w:t>
      </w:r>
      <w:r w:rsidR="00F24715">
        <w:t xml:space="preserve"> and</w:t>
      </w:r>
      <w:r w:rsidR="00604A1C">
        <w:t xml:space="preserve"> Commission Staff and other interested p</w:t>
      </w:r>
      <w:r w:rsidR="00DF1D74">
        <w:t>ersons</w:t>
      </w:r>
      <w:r w:rsidR="00604A1C">
        <w:t xml:space="preserve"> w</w:t>
      </w:r>
      <w:r w:rsidR="00DF1D74">
        <w:t>ere allowed to file</w:t>
      </w:r>
      <w:r w:rsidR="00E85727">
        <w:t xml:space="preserve"> </w:t>
      </w:r>
      <w:r w:rsidR="00DF1D74">
        <w:t xml:space="preserve">a list of issues to be addressed in the docket and also identify any issues not to be addressed and any threshold legal or policy issues that should be addressed by </w:t>
      </w:r>
      <w:r w:rsidR="00E85727">
        <w:t>September 5, 2019</w:t>
      </w:r>
      <w:r w:rsidR="00DF1D74">
        <w:t xml:space="preserve">.  </w:t>
      </w:r>
      <w:r w:rsidR="00A602DF">
        <w:t>Commission Staff</w:t>
      </w:r>
      <w:r w:rsidR="00DF1D74" w:rsidRPr="00072737">
        <w:t xml:space="preserve"> </w:t>
      </w:r>
      <w:r w:rsidR="00DF1D74">
        <w:t>timely filed a list of issues.</w:t>
      </w:r>
    </w:p>
    <w:p w:rsidR="006F2036" w:rsidRPr="003C35B5" w:rsidRDefault="006F2036" w:rsidP="006F2036">
      <w:pPr>
        <w:pStyle w:val="Heading1"/>
        <w:keepLines w:val="0"/>
        <w:tabs>
          <w:tab w:val="clear" w:pos="360"/>
        </w:tabs>
        <w:spacing w:before="480"/>
      </w:pPr>
      <w:r w:rsidRPr="003C35B5">
        <w:t xml:space="preserve">Issues to </w:t>
      </w:r>
      <w:proofErr w:type="gramStart"/>
      <w:r w:rsidRPr="003C35B5">
        <w:t>be Addressed</w:t>
      </w:r>
      <w:proofErr w:type="gramEnd"/>
    </w:p>
    <w:p w:rsidR="006F2036" w:rsidRDefault="006F2036" w:rsidP="006F2036">
      <w:pPr>
        <w:pStyle w:val="BodyText"/>
      </w:pPr>
      <w:r w:rsidRPr="003C35B5">
        <w:t>The Commission must provide to the administrative law judge (ALJ) a list of issues or areas to be addressed in any proceeding referred to SOAH.</w:t>
      </w:r>
      <w:r w:rsidRPr="003C35B5">
        <w:rPr>
          <w:rStyle w:val="FootnoteReference"/>
        </w:rPr>
        <w:footnoteReference w:id="11"/>
      </w:r>
      <w:r w:rsidRPr="003C35B5">
        <w:t xml:space="preserve">  After reviewing the pleadings submitted by the parties, the Commission identifies the following issues that must be addressed in this docket:</w:t>
      </w:r>
    </w:p>
    <w:p w:rsidR="00E85727" w:rsidRPr="003C35B5" w:rsidRDefault="009D1408" w:rsidP="00E85727">
      <w:pPr>
        <w:pStyle w:val="Heading7"/>
      </w:pPr>
      <w:r>
        <w:t>Record Keeping</w:t>
      </w:r>
    </w:p>
    <w:p w:rsidR="00965D4B" w:rsidRDefault="009D1408" w:rsidP="00965D4B">
      <w:pPr>
        <w:pStyle w:val="IssueList"/>
      </w:pPr>
      <w:r>
        <w:t>Is respondents’ current practice of requiring tenants to call a customer service hotline to obtain information about their utility</w:t>
      </w:r>
      <w:r w:rsidR="00B15180">
        <w:noBreakHyphen/>
      </w:r>
      <w:r>
        <w:t xml:space="preserve">service bills </w:t>
      </w:r>
      <w:r w:rsidR="00965D4B">
        <w:t xml:space="preserve">compliant with </w:t>
      </w:r>
      <w:r>
        <w:t>the record keeping requirements of</w:t>
      </w:r>
      <w:r w:rsidR="005512EB">
        <w:t> </w:t>
      </w:r>
      <w:r w:rsidR="00A23A08">
        <w:t>16</w:t>
      </w:r>
      <w:r>
        <w:t xml:space="preserve"> TAC §§</w:t>
      </w:r>
      <w:r w:rsidR="00965D4B">
        <w:t> </w:t>
      </w:r>
      <w:r>
        <w:t>24.277(e)</w:t>
      </w:r>
      <w:r w:rsidR="00965D4B">
        <w:t xml:space="preserve"> through </w:t>
      </w:r>
      <w:r>
        <w:t>(g)?</w:t>
      </w:r>
    </w:p>
    <w:p w:rsidR="006F2036" w:rsidRDefault="00965D4B" w:rsidP="00E501AF">
      <w:pPr>
        <w:pStyle w:val="IssueList"/>
      </w:pPr>
      <w:r>
        <w:t>I</w:t>
      </w:r>
      <w:r w:rsidR="009D1408">
        <w:t>s respondents</w:t>
      </w:r>
      <w:r w:rsidR="000250F7">
        <w:t>’</w:t>
      </w:r>
      <w:r w:rsidR="009D1408">
        <w:t xml:space="preserve"> </w:t>
      </w:r>
      <w:r w:rsidR="00CD4736">
        <w:t>recently implemented</w:t>
      </w:r>
      <w:r w:rsidR="009D1408">
        <w:t xml:space="preserve"> practice of requiring tenants to submit written request</w:t>
      </w:r>
      <w:r w:rsidR="000250F7">
        <w:t>s for</w:t>
      </w:r>
      <w:r w:rsidR="009D1408">
        <w:t xml:space="preserve"> </w:t>
      </w:r>
      <w:r w:rsidR="000250F7">
        <w:t>the</w:t>
      </w:r>
      <w:r w:rsidR="009D1408">
        <w:t xml:space="preserve"> information</w:t>
      </w:r>
      <w:r w:rsidR="000250F7">
        <w:t>, after which the tenant will receive the information within</w:t>
      </w:r>
      <w:r w:rsidR="009D1408">
        <w:t xml:space="preserve"> 15 days </w:t>
      </w:r>
      <w:r>
        <w:t>compliant with Section 24.227(e) through (g)</w:t>
      </w:r>
      <w:r w:rsidR="009D1408">
        <w:t>?</w:t>
      </w:r>
    </w:p>
    <w:p w:rsidR="009D1408" w:rsidRPr="00460626" w:rsidRDefault="009D1408" w:rsidP="009D1408">
      <w:pPr>
        <w:pStyle w:val="Heading7"/>
      </w:pPr>
      <w:r>
        <w:t>Utility</w:t>
      </w:r>
      <w:r w:rsidR="00B15180">
        <w:noBreakHyphen/>
      </w:r>
      <w:r>
        <w:t>Service Billing Methodology</w:t>
      </w:r>
    </w:p>
    <w:p w:rsidR="002326F6" w:rsidRDefault="002326F6" w:rsidP="002326F6">
      <w:pPr>
        <w:pStyle w:val="IssueList"/>
      </w:pPr>
      <w:r>
        <w:t xml:space="preserve">Are the water-base fees, sewer-base fees, or regional water authority fees (fees) that first appeared on the applicant’s January 2018 utility-service bill allocated from bills for water or wastewater utility service from a retail public utility—here, the district—paid by the owners </w:t>
      </w:r>
      <w:r>
        <w:lastRenderedPageBreak/>
        <w:t>of the apartment house—here, respondents—according to the requirements of 16 TAC §</w:t>
      </w:r>
      <w:r w:rsidR="00E501AF">
        <w:t> </w:t>
      </w:r>
      <w:r>
        <w:t>24.281(a)?</w:t>
      </w:r>
    </w:p>
    <w:p w:rsidR="002326F6" w:rsidRDefault="002326F6" w:rsidP="002326F6">
      <w:pPr>
        <w:pStyle w:val="IssueList"/>
      </w:pPr>
      <w:r>
        <w:t>Does the district’s rate structure include dwelling</w:t>
      </w:r>
      <w:r w:rsidR="00BF17B1">
        <w:noBreakHyphen/>
      </w:r>
      <w:r>
        <w:t>unit</w:t>
      </w:r>
      <w:r w:rsidR="00DD4DF6">
        <w:t>-</w:t>
      </w:r>
      <w:r>
        <w:t>base charges or customer</w:t>
      </w:r>
      <w:r w:rsidR="00DD4DF6">
        <w:t>-</w:t>
      </w:r>
      <w:r>
        <w:t>service charges as defined by 16 TAC § 24.275(c)(4) and (</w:t>
      </w:r>
      <w:r w:rsidR="00D77D9A">
        <w:t>6</w:t>
      </w:r>
      <w:r>
        <w:t>)?</w:t>
      </w:r>
    </w:p>
    <w:p w:rsidR="002326F6" w:rsidRDefault="002326F6" w:rsidP="002326F6">
      <w:pPr>
        <w:pStyle w:val="Issuesublist"/>
      </w:pPr>
      <w:r>
        <w:t>If the rate structure includes unit</w:t>
      </w:r>
      <w:r w:rsidR="00DD4DF6">
        <w:t>-</w:t>
      </w:r>
      <w:r>
        <w:t>base charges, are any of the fees billed to the applicant by the respondents to pay the district’s dwelling</w:t>
      </w:r>
      <w:r w:rsidR="001F21A5">
        <w:t>-</w:t>
      </w:r>
      <w:r>
        <w:t>unit</w:t>
      </w:r>
      <w:r w:rsidR="00DD4DF6">
        <w:t>-</w:t>
      </w:r>
      <w:r>
        <w:t>base charges as required by 16 TAC § 24.281(b)? If so, are the fees calculated correctly?</w:t>
      </w:r>
    </w:p>
    <w:p w:rsidR="002326F6" w:rsidRDefault="002326F6" w:rsidP="002326F6">
      <w:pPr>
        <w:pStyle w:val="Issuesublist"/>
      </w:pPr>
      <w:r>
        <w:t>If the rate structure includes customer</w:t>
      </w:r>
      <w:r w:rsidR="001F21A5">
        <w:t>-</w:t>
      </w:r>
      <w:r>
        <w:t>service</w:t>
      </w:r>
      <w:r w:rsidR="001F21A5">
        <w:t xml:space="preserve"> </w:t>
      </w:r>
      <w:r>
        <w:t>charges, are any of the fees billed to the applicant by the respondents to cover customer</w:t>
      </w:r>
      <w:r w:rsidR="00DD4DF6">
        <w:t>-</w:t>
      </w:r>
      <w:r>
        <w:t>service charges paid by respondents to the district? If so, are the fees calculated according to the requirements of 16 TAC § 24.281(c)?</w:t>
      </w:r>
    </w:p>
    <w:p w:rsidR="00ED6FE1" w:rsidRDefault="00B12A44" w:rsidP="00ED6FE1">
      <w:pPr>
        <w:pStyle w:val="IssueList"/>
      </w:pPr>
      <w:r>
        <w:t>Are the applicant’s utility</w:t>
      </w:r>
      <w:r w:rsidR="00DD4DF6">
        <w:t>-</w:t>
      </w:r>
      <w:r>
        <w:t>service bills calculated using submetering, allocation, or some other methodology?</w:t>
      </w:r>
    </w:p>
    <w:p w:rsidR="0061739F" w:rsidRDefault="00B12A44" w:rsidP="002326F6">
      <w:pPr>
        <w:pStyle w:val="Issuesublist"/>
      </w:pPr>
      <w:r>
        <w:t xml:space="preserve">If the </w:t>
      </w:r>
      <w:r w:rsidR="005E6D4A">
        <w:t xml:space="preserve">respondents calculate the </w:t>
      </w:r>
      <w:r>
        <w:t>applicant’s utility</w:t>
      </w:r>
      <w:r w:rsidR="00ED6FE1">
        <w:t>-</w:t>
      </w:r>
      <w:r>
        <w:t xml:space="preserve">service bills using submetering or allocation, are the bills calculated in compliance with 16 TAC § 24.281(d) if </w:t>
      </w:r>
      <w:r w:rsidR="00CE4E80">
        <w:t xml:space="preserve">respondents use </w:t>
      </w:r>
      <w:r>
        <w:t xml:space="preserve">submetering or 16 TAC § 24.281(e) if </w:t>
      </w:r>
      <w:r w:rsidR="00CE4E80">
        <w:t xml:space="preserve">respondents use </w:t>
      </w:r>
      <w:r>
        <w:t>allocation?</w:t>
      </w:r>
    </w:p>
    <w:p w:rsidR="001B136E" w:rsidRDefault="001B136E" w:rsidP="002326F6">
      <w:pPr>
        <w:pStyle w:val="Issuesublist"/>
      </w:pPr>
      <w:r>
        <w:t>If the respondents calculate the applicant’s utility</w:t>
      </w:r>
      <w:r w:rsidR="00ED6FE1">
        <w:t>-</w:t>
      </w:r>
      <w:r>
        <w:t xml:space="preserve">service bills using some other methodology, how do </w:t>
      </w:r>
      <w:r w:rsidR="00CF6DEB">
        <w:t>respondents</w:t>
      </w:r>
      <w:r>
        <w:t xml:space="preserve"> calculate the applicant’s utility</w:t>
      </w:r>
      <w:r w:rsidR="00A2292C">
        <w:t>-</w:t>
      </w:r>
      <w:r>
        <w:t>service bills?</w:t>
      </w:r>
    </w:p>
    <w:p w:rsidR="009D1408" w:rsidRPr="003C35B5" w:rsidRDefault="009D1408" w:rsidP="009D1408">
      <w:pPr>
        <w:pStyle w:val="Heading7"/>
      </w:pPr>
      <w:r>
        <w:t>Notice of Utility</w:t>
      </w:r>
      <w:r w:rsidR="00B15180">
        <w:noBreakHyphen/>
      </w:r>
      <w:r>
        <w:t>Service Billing Methodology</w:t>
      </w:r>
    </w:p>
    <w:p w:rsidR="009D1408" w:rsidRDefault="00A23A08" w:rsidP="009D1408">
      <w:pPr>
        <w:pStyle w:val="IssueList"/>
      </w:pPr>
      <w:r>
        <w:t xml:space="preserve">Does the rental agreement between the applicant and the respondents, including any addendums to such rental agreement, clearly state all the information required by 16 </w:t>
      </w:r>
      <w:r w:rsidR="00A30BED">
        <w:t>TAC § </w:t>
      </w:r>
      <w:r>
        <w:t>24.279(a)?</w:t>
      </w:r>
    </w:p>
    <w:p w:rsidR="00FF6AAB" w:rsidRDefault="00FF6AAB" w:rsidP="00FF6AAB">
      <w:pPr>
        <w:pStyle w:val="IssueList"/>
      </w:pPr>
      <w:r>
        <w:t xml:space="preserve">Did the addition of the </w:t>
      </w:r>
      <w:r w:rsidR="0027614A">
        <w:t>fees</w:t>
      </w:r>
      <w:r>
        <w:t xml:space="preserve"> to the applicant’s January 2018 utility</w:t>
      </w:r>
      <w:r w:rsidR="00CF6DEB">
        <w:t>-</w:t>
      </w:r>
      <w:r>
        <w:t>service bill constitute “a change in the method by which a tenant is billed” for the purposes of 16 TAC §</w:t>
      </w:r>
      <w:r w:rsidR="00A30BED">
        <w:t> </w:t>
      </w:r>
      <w:r>
        <w:t>24.279(c)?</w:t>
      </w:r>
    </w:p>
    <w:p w:rsidR="00FF6AAB" w:rsidRDefault="00FF6AAB" w:rsidP="00FF6AAB">
      <w:pPr>
        <w:pStyle w:val="Issuesublist"/>
      </w:pPr>
      <w:r>
        <w:t>If so, did the applicant agree to the change by signing a lease or other written agreement explaining the change?</w:t>
      </w:r>
    </w:p>
    <w:p w:rsidR="00FF6AAB" w:rsidRDefault="00FF6AAB" w:rsidP="00FF6AAB">
      <w:pPr>
        <w:pStyle w:val="Issuesublist"/>
      </w:pPr>
      <w:r>
        <w:t>If so, did the respondents provide notice of the proposed change at least 35 days prior to implementation of the new method?</w:t>
      </w:r>
    </w:p>
    <w:p w:rsidR="00FF6AAB" w:rsidRDefault="00FF6AAB" w:rsidP="00FF6AAB">
      <w:pPr>
        <w:pStyle w:val="IssueList"/>
      </w:pPr>
      <w:r>
        <w:lastRenderedPageBreak/>
        <w:t>Do the utility</w:t>
      </w:r>
      <w:r w:rsidR="006F1F50">
        <w:t>-</w:t>
      </w:r>
      <w:r>
        <w:t xml:space="preserve">service billing statements issued by the respondents to the applicant clearly state all the utility information required by 16 TAC </w:t>
      </w:r>
      <w:r w:rsidR="00A30BED">
        <w:t xml:space="preserve">§ </w:t>
      </w:r>
      <w:r>
        <w:t>24.283(f)?</w:t>
      </w:r>
    </w:p>
    <w:p w:rsidR="009D1408" w:rsidRDefault="009D1408" w:rsidP="009D1408">
      <w:pPr>
        <w:pStyle w:val="Heading7"/>
      </w:pPr>
      <w:r>
        <w:t>Late Fees</w:t>
      </w:r>
    </w:p>
    <w:p w:rsidR="007F0C15" w:rsidRDefault="001177ED" w:rsidP="00061A6C">
      <w:pPr>
        <w:pStyle w:val="IssueList"/>
      </w:pPr>
      <w:r>
        <w:t xml:space="preserve">Is the </w:t>
      </w:r>
      <w:r w:rsidR="00D77D9A">
        <w:t xml:space="preserve">apparent </w:t>
      </w:r>
      <w:r>
        <w:t>billing discrepancy</w:t>
      </w:r>
      <w:r w:rsidR="00061A6C">
        <w:t xml:space="preserve"> of $19.61</w:t>
      </w:r>
      <w:r>
        <w:t xml:space="preserve"> present on applicant’s December 1, 201</w:t>
      </w:r>
      <w:r w:rsidR="00061A6C">
        <w:t>7</w:t>
      </w:r>
      <w:r>
        <w:t xml:space="preserve"> utility</w:t>
      </w:r>
      <w:r w:rsidR="00B15180">
        <w:noBreakHyphen/>
      </w:r>
      <w:r>
        <w:t xml:space="preserve">service bill </w:t>
      </w:r>
      <w:r w:rsidR="00061A6C">
        <w:t>the result of a late fee?</w:t>
      </w:r>
    </w:p>
    <w:p w:rsidR="00061A6C" w:rsidRDefault="00061A6C" w:rsidP="007F0C15">
      <w:pPr>
        <w:pStyle w:val="Issuesublist"/>
      </w:pPr>
      <w:r>
        <w:t xml:space="preserve">If it was, </w:t>
      </w:r>
      <w:r w:rsidR="00D71498">
        <w:t>did the</w:t>
      </w:r>
      <w:r>
        <w:t xml:space="preserve"> fee </w:t>
      </w:r>
      <w:r w:rsidR="00D71498">
        <w:t xml:space="preserve">exceed </w:t>
      </w:r>
      <w:r>
        <w:t xml:space="preserve">the 5% penalty that </w:t>
      </w:r>
      <w:r w:rsidR="0091738C">
        <w:t>respondents may</w:t>
      </w:r>
      <w:r>
        <w:t xml:space="preserve"> </w:t>
      </w:r>
      <w:r w:rsidR="0091738C">
        <w:t>apply</w:t>
      </w:r>
      <w:r>
        <w:t xml:space="preserve"> to delinquent accounts under 16 TAC </w:t>
      </w:r>
      <w:r w:rsidR="00A30BED">
        <w:t xml:space="preserve">§ </w:t>
      </w:r>
      <w:r>
        <w:t>24.283(m)?</w:t>
      </w:r>
    </w:p>
    <w:p w:rsidR="00061A6C" w:rsidRDefault="00061A6C" w:rsidP="00061A6C">
      <w:pPr>
        <w:pStyle w:val="Issuesublist"/>
      </w:pPr>
      <w:r>
        <w:t>If the billing discrepancy was not the result of a late fee, what was the cause of the billing discrepancy?</w:t>
      </w:r>
    </w:p>
    <w:p w:rsidR="00636A7A" w:rsidRDefault="00B12A44" w:rsidP="00636A7A">
      <w:pPr>
        <w:pStyle w:val="Heading7"/>
      </w:pPr>
      <w:r>
        <w:t>Remedies</w:t>
      </w:r>
    </w:p>
    <w:p w:rsidR="00B12A44" w:rsidRDefault="00B12A44" w:rsidP="00B12A44">
      <w:pPr>
        <w:pStyle w:val="IssueList"/>
      </w:pPr>
      <w:r>
        <w:t>Regardless of the propriety of the respondents’ method of utility</w:t>
      </w:r>
      <w:r w:rsidR="00A2292C">
        <w:t>-</w:t>
      </w:r>
      <w:r>
        <w:t>service billing, have respondents overcharged the applicant for utility</w:t>
      </w:r>
      <w:r w:rsidR="006717D8">
        <w:t>-</w:t>
      </w:r>
      <w:r>
        <w:t>service?</w:t>
      </w:r>
    </w:p>
    <w:p w:rsidR="00636A7A" w:rsidRDefault="00B12A44" w:rsidP="00636A7A">
      <w:pPr>
        <w:pStyle w:val="Issuesublist"/>
      </w:pPr>
      <w:r>
        <w:t xml:space="preserve">If so, what </w:t>
      </w:r>
      <w:r w:rsidR="00636A7A">
        <w:t>amount of money do respondents owe the applicant?</w:t>
      </w:r>
    </w:p>
    <w:p w:rsidR="00636A7A" w:rsidRDefault="00B12A44" w:rsidP="00B12A44">
      <w:pPr>
        <w:pStyle w:val="IssueList"/>
      </w:pPr>
      <w:r>
        <w:t xml:space="preserve">If respondents have otherwise violated the Commission’s rules, </w:t>
      </w:r>
      <w:r w:rsidR="002714D5">
        <w:t>what remedies are appropriate</w:t>
      </w:r>
      <w:r>
        <w:t>?</w:t>
      </w:r>
    </w:p>
    <w:p w:rsidR="006F2036" w:rsidRPr="003C35B5" w:rsidRDefault="006F2036" w:rsidP="006F2036">
      <w:pPr>
        <w:pStyle w:val="BodyText"/>
      </w:pPr>
      <w:r w:rsidRPr="003C35B5">
        <w:t xml:space="preserve">This list of issues </w:t>
      </w:r>
      <w:proofErr w:type="gramStart"/>
      <w:r w:rsidRPr="003C35B5">
        <w:t>is not intended</w:t>
      </w:r>
      <w:proofErr w:type="gramEnd"/>
      <w:r w:rsidRPr="003C35B5">
        <w:t xml:space="preserve"> to be exhaustive.  The parties and the ALJ are free to raise and address any issues relevant in this docket that they deem necessary, subject to any limitations imposed by the ALJ, or by the Commission in future orders issued in this docket.  The Commission </w:t>
      </w:r>
      <w:r>
        <w:t>may</w:t>
      </w:r>
      <w:r w:rsidRPr="003C35B5">
        <w:t xml:space="preserve"> identify and provide to the ALJ in the future any additional issues or areas that must </w:t>
      </w:r>
      <w:proofErr w:type="gramStart"/>
      <w:r w:rsidRPr="003C35B5">
        <w:t>be addressed</w:t>
      </w:r>
      <w:proofErr w:type="gramEnd"/>
      <w:r w:rsidRPr="003C35B5">
        <w:t>, as permitted under</w:t>
      </w:r>
      <w:r w:rsidRPr="003C35B5">
        <w:rPr>
          <w:smallCaps/>
        </w:rPr>
        <w:t xml:space="preserve"> </w:t>
      </w:r>
      <w:r w:rsidRPr="0067692D">
        <w:t>Tex. Gov’t Code Ann.</w:t>
      </w:r>
      <w:r w:rsidRPr="003C35B5">
        <w:t xml:space="preserve"> §</w:t>
      </w:r>
      <w:r>
        <w:t> </w:t>
      </w:r>
      <w:r w:rsidRPr="003C35B5">
        <w:t>2003.049(e).</w:t>
      </w:r>
    </w:p>
    <w:p w:rsidR="006F2036" w:rsidRPr="003C35B5" w:rsidRDefault="006F2036" w:rsidP="006F2036">
      <w:pPr>
        <w:pStyle w:val="Heading1"/>
        <w:keepLines w:val="0"/>
        <w:tabs>
          <w:tab w:val="clear" w:pos="360"/>
        </w:tabs>
        <w:spacing w:before="480"/>
      </w:pPr>
      <w:r>
        <w:t xml:space="preserve"> </w:t>
      </w:r>
      <w:r w:rsidRPr="003C35B5">
        <w:t>Issue Not to be Addressed</w:t>
      </w:r>
    </w:p>
    <w:p w:rsidR="006F2036" w:rsidRPr="003C35B5" w:rsidRDefault="006F2036" w:rsidP="006F2036">
      <w:pPr>
        <w:pStyle w:val="BodyText"/>
      </w:pPr>
      <w:r w:rsidRPr="003C35B5">
        <w:tab/>
        <w:t>The Commission takes the position that the following issue need not be addressed in this proceeding for the reason stated.</w:t>
      </w:r>
    </w:p>
    <w:p w:rsidR="006F2036" w:rsidRPr="003C35B5" w:rsidRDefault="006F2036" w:rsidP="006F2036"/>
    <w:p w:rsidR="006F2036" w:rsidRPr="006C5848" w:rsidRDefault="00072737" w:rsidP="006F2036">
      <w:pPr>
        <w:pStyle w:val="IssueNotList"/>
        <w:numPr>
          <w:ilvl w:val="0"/>
          <w:numId w:val="8"/>
        </w:numPr>
        <w:rPr>
          <w:i w:val="0"/>
        </w:rPr>
      </w:pPr>
      <w:r>
        <w:rPr>
          <w:i w:val="0"/>
        </w:rPr>
        <w:t>Whether respondents retaliated against Ms. Hughes for disputing her utility charges.</w:t>
      </w:r>
    </w:p>
    <w:p w:rsidR="006F2036" w:rsidRPr="003C35B5" w:rsidRDefault="00072737" w:rsidP="00B30366">
      <w:pPr>
        <w:pStyle w:val="BodyText"/>
        <w:tabs>
          <w:tab w:val="left" w:pos="2250"/>
        </w:tabs>
      </w:pPr>
      <w:r>
        <w:t>Ms. Hughes’ complaint asserts that respondents took several actions against her following her filing of informal complaints against them.</w:t>
      </w:r>
      <w:r>
        <w:rPr>
          <w:rStyle w:val="FootnoteReference"/>
        </w:rPr>
        <w:footnoteReference w:id="12"/>
      </w:r>
      <w:r>
        <w:t xml:space="preserve"> However, the Commission does not have </w:t>
      </w:r>
      <w:r>
        <w:lastRenderedPageBreak/>
        <w:t xml:space="preserve">jurisdiction </w:t>
      </w:r>
      <w:r w:rsidR="005073D3">
        <w:t xml:space="preserve">over </w:t>
      </w:r>
      <w:r>
        <w:t>retaliatory actions</w:t>
      </w:r>
      <w:r w:rsidR="005073D3">
        <w:t>, even if true,</w:t>
      </w:r>
      <w:r>
        <w:t xml:space="preserve"> taken by landlord against a tenant who files suit against them. </w:t>
      </w:r>
      <w:r w:rsidR="006D452D">
        <w:t xml:space="preserve">Nor does the Commission </w:t>
      </w:r>
      <w:r w:rsidR="00933563">
        <w:t xml:space="preserve">have the authority to award tort damages. </w:t>
      </w:r>
      <w:r>
        <w:t xml:space="preserve">Therefore, these allegations will not </w:t>
      </w:r>
      <w:proofErr w:type="gramStart"/>
      <w:r>
        <w:t>be addressed</w:t>
      </w:r>
      <w:proofErr w:type="gramEnd"/>
      <w:r>
        <w:t xml:space="preserve"> during this proceeding.</w:t>
      </w:r>
    </w:p>
    <w:p w:rsidR="006F2036" w:rsidRPr="003C35B5" w:rsidRDefault="006F2036" w:rsidP="006F2036">
      <w:pPr>
        <w:pStyle w:val="Heading1"/>
        <w:keepLines w:val="0"/>
        <w:tabs>
          <w:tab w:val="clear" w:pos="360"/>
        </w:tabs>
        <w:spacing w:before="480"/>
      </w:pPr>
      <w:r w:rsidRPr="003C35B5">
        <w:t>Effect of Preliminary Order</w:t>
      </w:r>
    </w:p>
    <w:p w:rsidR="000C08BC" w:rsidRPr="002326F6" w:rsidRDefault="006F2036" w:rsidP="002326F6">
      <w:pPr>
        <w:pStyle w:val="BodyText"/>
      </w:pPr>
      <w:r w:rsidRPr="003C35B5">
        <w:t xml:space="preserve">The Commission’s discussion and conclusions in this </w:t>
      </w:r>
      <w:r>
        <w:t>o</w:t>
      </w:r>
      <w:r w:rsidRPr="003C35B5">
        <w:t xml:space="preserve">rder regarding issues that are not to be addressed should be considered dispositive of those matters.  Questions, if any, regarding issues that are not to be addressed may be certified to the Commission for clarification if the SOAH ALJ determines that such clarification is necessary.  As to all other issues, 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the non-dispositive rulings of this </w:t>
      </w:r>
      <w:r>
        <w:t>o</w:t>
      </w:r>
      <w:r w:rsidRPr="003C35B5">
        <w:t xml:space="preserve">rder when circumstances dictate that it is reasonable to do so.  Any ruling by the SOAH ALJ that deviates from this </w:t>
      </w:r>
      <w:r>
        <w:t>o</w:t>
      </w:r>
      <w:r w:rsidRPr="003C35B5">
        <w:t>rder may be appealed to the Commission.</w:t>
      </w:r>
      <w:r w:rsidR="00496D9F">
        <w:t xml:space="preserve">  </w:t>
      </w:r>
      <w:r w:rsidRPr="003C35B5">
        <w:t xml:space="preserve">The Commission will not address whether this </w:t>
      </w:r>
      <w:r>
        <w:t>o</w:t>
      </w:r>
      <w:r w:rsidRPr="003C35B5">
        <w:t>rder should be modified except upon its own motion or the appeal of a SOAH ALJ’s order.  Furthermore, this Order is not subject to motions for rehearing or reconsideration.</w:t>
      </w:r>
      <w:r w:rsidR="000C08BC">
        <w:rPr>
          <w:b/>
        </w:rPr>
        <w:br w:type="page"/>
      </w:r>
    </w:p>
    <w:p w:rsidR="00160DCD" w:rsidRPr="008660D4" w:rsidRDefault="00496D9F" w:rsidP="008660D4">
      <w:pPr>
        <w:pStyle w:val="BodyText"/>
        <w:rPr>
          <w:b/>
        </w:rPr>
      </w:pPr>
      <w:r w:rsidRPr="008660D4">
        <w:rPr>
          <w:b/>
        </w:rPr>
        <w:lastRenderedPageBreak/>
        <w:t>SIGNED AT AUSTIN, TEXAS</w:t>
      </w:r>
      <w:r w:rsidR="00160DCD" w:rsidRPr="008660D4">
        <w:rPr>
          <w:b/>
        </w:rPr>
        <w:t xml:space="preserve"> the ______ day of </w:t>
      </w:r>
      <w:r w:rsidR="0030339E" w:rsidRPr="008660D4">
        <w:rPr>
          <w:b/>
        </w:rPr>
        <w:t>September 2019</w:t>
      </w:r>
      <w:r w:rsidR="008D1724" w:rsidRPr="008660D4">
        <w:rPr>
          <w:b/>
        </w:rPr>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30339E" w:rsidP="00160DCD">
      <w:pPr>
        <w:pStyle w:val="Signatures"/>
      </w:pPr>
      <w:r>
        <w:t>DEANN T. WALKER</w:t>
      </w:r>
      <w:r w:rsidR="00160DCD">
        <w:t>,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30339E" w:rsidP="00160DCD">
      <w:pPr>
        <w:pStyle w:val="Signatures"/>
      </w:pPr>
      <w:r>
        <w:t>ARTHUR C. D’ANDREA</w:t>
      </w:r>
      <w:r w:rsidR="00160DCD">
        <w:t>,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30339E" w:rsidP="00160DCD">
      <w:pPr>
        <w:pStyle w:val="Signatures"/>
      </w:pPr>
      <w:r>
        <w:t>SHELLY BOTKIN</w:t>
      </w:r>
      <w:r w:rsidR="00160DCD">
        <w:t>, COMMISSIONER</w:t>
      </w:r>
    </w:p>
    <w:p w:rsidR="00160DCD" w:rsidRDefault="00160DCD" w:rsidP="00160DCD"/>
    <w:p w:rsidR="00160DCD" w:rsidRDefault="00160DCD" w:rsidP="00160DCD"/>
    <w:p w:rsidR="00FE4318" w:rsidRDefault="00FE4318" w:rsidP="0062202F">
      <w:pPr>
        <w:pStyle w:val="EndMatter"/>
      </w:pPr>
      <w:r>
        <w:t>W2013</w:t>
      </w:r>
    </w:p>
    <w:p w:rsidR="00160DCD" w:rsidRDefault="00841C7C" w:rsidP="0062202F">
      <w:pPr>
        <w:pStyle w:val="EndMatter"/>
      </w:pPr>
      <w:r>
        <w:fldChar w:fldCharType="begin"/>
      </w:r>
      <w:r>
        <w:instrText xml:space="preserve"> FILENAME  \* Lower \p  \* MERGEFORMAT </w:instrText>
      </w:r>
      <w:r>
        <w:fldChar w:fldCharType="separate"/>
      </w:r>
      <w:r w:rsidR="00AE37D1">
        <w:rPr>
          <w:noProof/>
        </w:rPr>
        <w:t>q:\cadm\orders\prelim\48000\48454 dpo.docx</w:t>
      </w:r>
      <w:r>
        <w:rPr>
          <w:noProof/>
        </w:rPr>
        <w:fldChar w:fldCharType="end"/>
      </w: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0025" w:rsidRDefault="006C0025" w:rsidP="00D03394">
      <w:r>
        <w:separator/>
      </w:r>
    </w:p>
  </w:endnote>
  <w:endnote w:type="continuationSeparator" w:id="0">
    <w:p w:rsidR="006C0025" w:rsidRDefault="006C0025"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0025" w:rsidRDefault="006C0025" w:rsidP="00D03394">
      <w:r>
        <w:separator/>
      </w:r>
    </w:p>
  </w:footnote>
  <w:footnote w:type="continuationSeparator" w:id="0">
    <w:p w:rsidR="006C0025" w:rsidRDefault="006C0025" w:rsidP="00D03394">
      <w:r>
        <w:continuationSeparator/>
      </w:r>
    </w:p>
  </w:footnote>
  <w:footnote w:id="1">
    <w:p w:rsidR="0094663F" w:rsidRDefault="0094663F" w:rsidP="008F7780">
      <w:pPr>
        <w:pStyle w:val="FootnoteText"/>
      </w:pPr>
      <w:r>
        <w:rPr>
          <w:rStyle w:val="FootnoteReference"/>
        </w:rPr>
        <w:footnoteRef/>
      </w:r>
      <w:r>
        <w:t xml:space="preserve">  </w:t>
      </w:r>
      <w:r w:rsidR="003122C2">
        <w:t xml:space="preserve">Tex. Water Code Ann. § 13.505(c) (West 2015) (TWC); </w:t>
      </w:r>
      <w:r>
        <w:t xml:space="preserve">Complaint of Nzinga Hughes Against the Trails at Dominion Park, Ab-Go Trails at Dominion Park Propco, LLC, NWP Services Corporation, Harris County Municipal Utility District No. 215, and </w:t>
      </w:r>
      <w:proofErr w:type="spellStart"/>
      <w:r>
        <w:t>Goldoller</w:t>
      </w:r>
      <w:proofErr w:type="spellEnd"/>
      <w:r>
        <w:t xml:space="preserve"> Real Estate Investments (Jun</w:t>
      </w:r>
      <w:r w:rsidR="002E1D07">
        <w:t>.</w:t>
      </w:r>
      <w:r>
        <w:t xml:space="preserve"> 11, 2019)</w:t>
      </w:r>
      <w:r w:rsidR="0058355F">
        <w:t xml:space="preserve"> (Complaint)</w:t>
      </w:r>
      <w:r>
        <w:t>.</w:t>
      </w:r>
      <w:r>
        <w:tab/>
      </w:r>
    </w:p>
  </w:footnote>
  <w:footnote w:id="2">
    <w:p w:rsidR="00E85727" w:rsidRPr="00E85727" w:rsidRDefault="00E85727" w:rsidP="00256CA9">
      <w:pPr>
        <w:pStyle w:val="FootnoteText"/>
      </w:pPr>
      <w:r>
        <w:rPr>
          <w:rStyle w:val="FootnoteReference"/>
        </w:rPr>
        <w:footnoteRef/>
      </w:r>
      <w:r>
        <w:t xml:space="preserve">  </w:t>
      </w:r>
      <w:r w:rsidR="00A23A08">
        <w:t>16</w:t>
      </w:r>
      <w:r>
        <w:t xml:space="preserve"> Tex. Admin. Code § 24.277(e) (2018) (TAC); Complaint at 1; </w:t>
      </w:r>
      <w:r>
        <w:rPr>
          <w:i/>
        </w:rPr>
        <w:t>see</w:t>
      </w:r>
      <w:r w:rsidR="000357D6">
        <w:rPr>
          <w:i/>
        </w:rPr>
        <w:t xml:space="preserve"> also</w:t>
      </w:r>
      <w:r>
        <w:rPr>
          <w:i/>
        </w:rPr>
        <w:t xml:space="preserve"> </w:t>
      </w:r>
      <w:r w:rsidR="000357D6">
        <w:t>Response to Staff’s First Request for Information at 8 (Nov. 12, 2018) (</w:t>
      </w:r>
      <w:r w:rsidR="00256CA9">
        <w:t xml:space="preserve">Respondents’ </w:t>
      </w:r>
      <w:r w:rsidR="000357D6">
        <w:t>Response to First RFI) (stating respondents process for making the records available requires residence to call a customer service line to obtain information concerning their utility</w:t>
      </w:r>
      <w:r w:rsidR="00B15180">
        <w:noBreakHyphen/>
      </w:r>
      <w:r w:rsidR="000357D6">
        <w:t>service bills); Response to Staff’s Second Request for Information at 9</w:t>
      </w:r>
      <w:r w:rsidR="00C94B31">
        <w:t xml:space="preserve"> (Dec. 12, 2018) (</w:t>
      </w:r>
      <w:r w:rsidR="00256CA9">
        <w:t xml:space="preserve">Respondents’ </w:t>
      </w:r>
      <w:r w:rsidR="00C94B31">
        <w:t>Response to Second RFI)</w:t>
      </w:r>
      <w:r w:rsidR="000357D6">
        <w:t xml:space="preserve"> (admitting “all records that are required to be made available for inspection by the tenant under § 24.122(e) (sic) are not routinely maintained at the on-site manager[‘]s office.”).</w:t>
      </w:r>
    </w:p>
  </w:footnote>
  <w:footnote w:id="3">
    <w:p w:rsidR="008F7780" w:rsidRPr="001803B9" w:rsidRDefault="008F7780" w:rsidP="008F7780">
      <w:pPr>
        <w:pStyle w:val="FootnoteText"/>
      </w:pPr>
      <w:r>
        <w:rPr>
          <w:rStyle w:val="FootnoteReference"/>
        </w:rPr>
        <w:footnoteRef/>
      </w:r>
      <w:r>
        <w:t xml:space="preserve">  </w:t>
      </w:r>
      <w:r w:rsidR="00A23A08">
        <w:t>16</w:t>
      </w:r>
      <w:r>
        <w:t xml:space="preserve"> </w:t>
      </w:r>
      <w:r w:rsidR="000357D6">
        <w:t>TAC</w:t>
      </w:r>
      <w:r>
        <w:t xml:space="preserve"> § 24.279(a); </w:t>
      </w:r>
      <w:r>
        <w:rPr>
          <w:i/>
        </w:rPr>
        <w:t xml:space="preserve">see </w:t>
      </w:r>
      <w:r>
        <w:t>Complaint (implying applicant’s rental agreement has an insufficient description of owner’s utility</w:t>
      </w:r>
      <w:r w:rsidR="00B15180">
        <w:noBreakHyphen/>
      </w:r>
      <w:r>
        <w:t>service billing methodology).</w:t>
      </w:r>
    </w:p>
  </w:footnote>
  <w:footnote w:id="4">
    <w:p w:rsidR="008F7780" w:rsidRDefault="008F7780" w:rsidP="008F7780">
      <w:pPr>
        <w:pStyle w:val="FootnoteText"/>
      </w:pPr>
      <w:r>
        <w:rPr>
          <w:rStyle w:val="FootnoteReference"/>
        </w:rPr>
        <w:footnoteRef/>
      </w:r>
      <w:r>
        <w:t xml:space="preserve">  </w:t>
      </w:r>
      <w:r w:rsidR="00A23A08">
        <w:t>16</w:t>
      </w:r>
      <w:r>
        <w:t xml:space="preserve"> TAC § 24.279(c); Complaint at 1.</w:t>
      </w:r>
    </w:p>
  </w:footnote>
  <w:footnote w:id="5">
    <w:p w:rsidR="00B1629A" w:rsidRPr="008E1B47" w:rsidRDefault="00B1629A">
      <w:pPr>
        <w:pStyle w:val="FootnoteText"/>
      </w:pPr>
      <w:r>
        <w:rPr>
          <w:rStyle w:val="FootnoteReference"/>
        </w:rPr>
        <w:footnoteRef/>
      </w:r>
      <w:r>
        <w:t xml:space="preserve">  </w:t>
      </w:r>
      <w:r w:rsidR="00A23A08">
        <w:t>16</w:t>
      </w:r>
      <w:r>
        <w:t xml:space="preserve"> TAC § 24.281(a); Complaint at </w:t>
      </w:r>
      <w:r w:rsidR="00256CA9">
        <w:t>1; Respondents</w:t>
      </w:r>
      <w:r w:rsidR="00061A6C">
        <w:t>’</w:t>
      </w:r>
      <w:r w:rsidR="00256CA9">
        <w:t xml:space="preserve"> Response to Second RFI (alleging the existence of a “hidden” base charge in respondents’ invoices from Harris County Municipal Utility District No. 215 that </w:t>
      </w:r>
      <w:r w:rsidR="00F37AA1">
        <w:t>respondents</w:t>
      </w:r>
      <w:r w:rsidR="00256CA9">
        <w:t xml:space="preserve"> passed on to tenants like applicant); </w:t>
      </w:r>
      <w:r w:rsidR="008E1B47">
        <w:rPr>
          <w:i/>
        </w:rPr>
        <w:t>see also</w:t>
      </w:r>
      <w:r w:rsidR="008E1B47">
        <w:t xml:space="preserve"> Respondents’ Response to Second RFI, Exhibit 2-28 (</w:t>
      </w:r>
      <w:r w:rsidR="00F37AA1">
        <w:t>describing in detail how tenants’ utility</w:t>
      </w:r>
      <w:r w:rsidR="00B15180">
        <w:noBreakHyphen/>
      </w:r>
      <w:r w:rsidR="00F37AA1">
        <w:t>service bills are calculated).</w:t>
      </w:r>
    </w:p>
  </w:footnote>
  <w:footnote w:id="6">
    <w:p w:rsidR="00C94B31" w:rsidRPr="00256CA9" w:rsidRDefault="00C94B31">
      <w:pPr>
        <w:pStyle w:val="FootnoteText"/>
      </w:pPr>
      <w:r>
        <w:rPr>
          <w:rStyle w:val="FootnoteReference"/>
        </w:rPr>
        <w:footnoteRef/>
      </w:r>
      <w:r>
        <w:t xml:space="preserve">  </w:t>
      </w:r>
      <w:r w:rsidR="00A23A08">
        <w:t>16</w:t>
      </w:r>
      <w:r>
        <w:t xml:space="preserve"> TAC § 24.281(</w:t>
      </w:r>
      <w:r w:rsidR="00337AD4">
        <w:t>b</w:t>
      </w:r>
      <w:r>
        <w:t>); Rebuttal to Respondent RealPage Utility Management, Inc. (</w:t>
      </w:r>
      <w:proofErr w:type="spellStart"/>
      <w:r>
        <w:t>fka</w:t>
      </w:r>
      <w:proofErr w:type="spellEnd"/>
      <w:r>
        <w:t xml:space="preserve"> Service Corporation) at 2 (Jul. 13, 2013) (Rebuttal)</w:t>
      </w:r>
      <w:r w:rsidR="00256CA9">
        <w:t xml:space="preserve">; </w:t>
      </w:r>
      <w:r w:rsidR="00256CA9">
        <w:rPr>
          <w:i/>
        </w:rPr>
        <w:t>see also</w:t>
      </w:r>
      <w:r w:rsidR="00256CA9">
        <w:t xml:space="preserve"> Respondents’ Response to First RFI at 7 (providing a vague description of how a line item on applicant’s utility</w:t>
      </w:r>
      <w:r w:rsidR="00B15180">
        <w:noBreakHyphen/>
      </w:r>
      <w:r w:rsidR="00256CA9">
        <w:t>service bill is calculated by including vacant units in the calculation); Respondents’ Response to Second RFI (</w:t>
      </w:r>
      <w:r w:rsidR="00F37AA1">
        <w:t>describing</w:t>
      </w:r>
      <w:r w:rsidR="00256CA9">
        <w:t xml:space="preserve"> </w:t>
      </w:r>
      <w:r w:rsidR="00F37AA1">
        <w:t>how</w:t>
      </w:r>
      <w:r w:rsidR="00256CA9">
        <w:t xml:space="preserve"> vacant units affect “a portion of </w:t>
      </w:r>
      <w:r w:rsidR="00F37AA1">
        <w:t>[tenant utility</w:t>
      </w:r>
      <w:r w:rsidR="00B15180">
        <w:noBreakHyphen/>
      </w:r>
      <w:r w:rsidR="00F37AA1">
        <w:t>service bill]</w:t>
      </w:r>
      <w:r w:rsidR="00256CA9">
        <w:t xml:space="preserve"> calculation using [square feet]” and “the per unit calculation” of tenants’ utility</w:t>
      </w:r>
      <w:r w:rsidR="00B15180">
        <w:noBreakHyphen/>
      </w:r>
      <w:r w:rsidR="00256CA9">
        <w:t>service bills)</w:t>
      </w:r>
      <w:r w:rsidR="008E1B47">
        <w:t xml:space="preserve">; </w:t>
      </w:r>
      <w:r w:rsidR="008E1B47">
        <w:rPr>
          <w:i/>
        </w:rPr>
        <w:t>id.</w:t>
      </w:r>
      <w:r w:rsidR="008E1B47">
        <w:t xml:space="preserve">, Exhibit 2-28 (providing a detailed explanation of how respondents calculated a “Fluctuating Flat Fee - </w:t>
      </w:r>
      <w:proofErr w:type="spellStart"/>
      <w:r w:rsidR="008E1B47">
        <w:t>Assum</w:t>
      </w:r>
      <w:proofErr w:type="spellEnd"/>
      <w:r w:rsidR="008E1B47">
        <w:t>[</w:t>
      </w:r>
      <w:proofErr w:type="spellStart"/>
      <w:r w:rsidR="008E1B47">
        <w:t>ing</w:t>
      </w:r>
      <w:proofErr w:type="spellEnd"/>
      <w:r w:rsidR="008E1B47">
        <w:t xml:space="preserve">] </w:t>
      </w:r>
      <w:proofErr w:type="spellStart"/>
      <w:r w:rsidR="008E1B47">
        <w:t>Vacants</w:t>
      </w:r>
      <w:proofErr w:type="spellEnd"/>
      <w:r w:rsidR="008E1B47">
        <w:t xml:space="preserve"> Occupied.”).</w:t>
      </w:r>
    </w:p>
  </w:footnote>
  <w:footnote w:id="7">
    <w:p w:rsidR="008F7780" w:rsidRDefault="008F7780" w:rsidP="008F7780">
      <w:pPr>
        <w:pStyle w:val="FootnoteText"/>
      </w:pPr>
      <w:r>
        <w:rPr>
          <w:rStyle w:val="FootnoteReference"/>
        </w:rPr>
        <w:footnoteRef/>
      </w:r>
      <w:r>
        <w:t xml:space="preserve">  </w:t>
      </w:r>
      <w:r w:rsidR="00A23A08">
        <w:t>16</w:t>
      </w:r>
      <w:r>
        <w:t xml:space="preserve"> TAC § 24.281(e); Complaint at 1.</w:t>
      </w:r>
    </w:p>
  </w:footnote>
  <w:footnote w:id="8">
    <w:p w:rsidR="008F7780" w:rsidRDefault="008F7780" w:rsidP="008F7780">
      <w:pPr>
        <w:pStyle w:val="FootnoteText"/>
      </w:pPr>
      <w:r>
        <w:rPr>
          <w:rStyle w:val="FootnoteReference"/>
        </w:rPr>
        <w:footnoteRef/>
      </w:r>
      <w:r>
        <w:t xml:space="preserve">  </w:t>
      </w:r>
      <w:r w:rsidR="00A23A08">
        <w:t>16</w:t>
      </w:r>
      <w:r>
        <w:t xml:space="preserve"> TAC § 24.283(f); Complaint at 1.</w:t>
      </w:r>
    </w:p>
  </w:footnote>
  <w:footnote w:id="9">
    <w:p w:rsidR="008F67AC" w:rsidRPr="00061A6C" w:rsidRDefault="008F67AC">
      <w:pPr>
        <w:pStyle w:val="FootnoteText"/>
      </w:pPr>
      <w:r>
        <w:rPr>
          <w:rStyle w:val="FootnoteReference"/>
        </w:rPr>
        <w:footnoteRef/>
      </w:r>
      <w:r>
        <w:t xml:space="preserve">  </w:t>
      </w:r>
      <w:r w:rsidR="00A23A08">
        <w:t>16</w:t>
      </w:r>
      <w:r>
        <w:t xml:space="preserve"> TAC § 24.283(m); Rebuttal at 4</w:t>
      </w:r>
      <w:r w:rsidR="001177ED">
        <w:t xml:space="preserve">. </w:t>
      </w:r>
      <w:r w:rsidR="001177ED">
        <w:rPr>
          <w:i/>
        </w:rPr>
        <w:t>Compare</w:t>
      </w:r>
      <w:r w:rsidR="001177ED">
        <w:t xml:space="preserve"> Rebuttal, Section: 3 (showing a utility service charge of $85.99 for the 10/24/2017 – 11/22/2017 billing period) </w:t>
      </w:r>
      <w:r w:rsidR="001177ED">
        <w:rPr>
          <w:i/>
        </w:rPr>
        <w:t xml:space="preserve">with </w:t>
      </w:r>
      <w:r w:rsidR="00061A6C">
        <w:t xml:space="preserve">Respondents’ Response to </w:t>
      </w:r>
      <w:r w:rsidR="008B5268">
        <w:t>Second</w:t>
      </w:r>
      <w:r w:rsidR="00061A6C">
        <w:t xml:space="preserve"> RFI, </w:t>
      </w:r>
      <w:proofErr w:type="gramStart"/>
      <w:r w:rsidR="008B5268">
        <w:t>Exhibit</w:t>
      </w:r>
      <w:proofErr w:type="gramEnd"/>
      <w:r w:rsidR="008B5268">
        <w:t xml:space="preserve"> 2-28 </w:t>
      </w:r>
      <w:r w:rsidR="00061A6C">
        <w:t>at</w:t>
      </w:r>
      <w:r w:rsidR="001B2125">
        <w:t> </w:t>
      </w:r>
      <w:r w:rsidR="00061A6C">
        <w:t>18 (showing a utility service charge of $66.38 for the 10/24/2017 – 11/22/2017 billing period).</w:t>
      </w:r>
    </w:p>
  </w:footnote>
  <w:footnote w:id="10">
    <w:p w:rsidR="008660D4" w:rsidRPr="00BA0D52" w:rsidRDefault="008660D4" w:rsidP="008660D4">
      <w:pPr>
        <w:pStyle w:val="FootnoteText"/>
      </w:pPr>
      <w:r>
        <w:rPr>
          <w:rStyle w:val="FootnoteReference"/>
        </w:rPr>
        <w:footnoteRef/>
      </w:r>
      <w:r>
        <w:t xml:space="preserve">  </w:t>
      </w:r>
      <w:r>
        <w:rPr>
          <w:i/>
        </w:rPr>
        <w:t>Dismissing Harris County MUD No. 215 and Requiring Responses</w:t>
      </w:r>
      <w:r>
        <w:t>, Docket No. 48454, Order No. 2 (Jul.</w:t>
      </w:r>
      <w:r w:rsidR="001B2125">
        <w:t> </w:t>
      </w:r>
      <w:r>
        <w:t>2, 2018).</w:t>
      </w:r>
    </w:p>
  </w:footnote>
  <w:footnote w:id="11">
    <w:p w:rsidR="006F2036" w:rsidRPr="002133F3" w:rsidRDefault="006F2036" w:rsidP="008F7780">
      <w:pPr>
        <w:pStyle w:val="FootnoteText"/>
        <w:rPr>
          <w:lang w:val="pt-BR"/>
        </w:rPr>
      </w:pPr>
      <w:r>
        <w:rPr>
          <w:rStyle w:val="FootnoteReference"/>
        </w:rPr>
        <w:footnoteRef/>
      </w:r>
      <w:r w:rsidRPr="002133F3">
        <w:rPr>
          <w:lang w:val="pt-BR"/>
        </w:rPr>
        <w:t xml:space="preserve">  </w:t>
      </w:r>
      <w:r w:rsidRPr="001F10CC">
        <w:rPr>
          <w:lang w:val="pt-BR"/>
        </w:rPr>
        <w:t>Tex. Gov’t Code Ann</w:t>
      </w:r>
      <w:r w:rsidRPr="002133F3">
        <w:rPr>
          <w:smallCaps/>
          <w:lang w:val="pt-BR"/>
        </w:rPr>
        <w:t>.</w:t>
      </w:r>
      <w:r>
        <w:rPr>
          <w:lang w:val="pt-BR"/>
        </w:rPr>
        <w:t xml:space="preserve"> § 2003.049(e) (Vernon 2000</w:t>
      </w:r>
      <w:r w:rsidRPr="002133F3">
        <w:rPr>
          <w:lang w:val="pt-BR"/>
        </w:rPr>
        <w:t xml:space="preserve">).  </w:t>
      </w:r>
    </w:p>
  </w:footnote>
  <w:footnote w:id="12">
    <w:p w:rsidR="00072737" w:rsidRDefault="00072737">
      <w:pPr>
        <w:pStyle w:val="FootnoteText"/>
      </w:pPr>
      <w:r>
        <w:rPr>
          <w:rStyle w:val="FootnoteReference"/>
        </w:rPr>
        <w:footnoteRef/>
      </w:r>
      <w:r>
        <w:t xml:space="preserve">  Complaint at 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04FC" w:rsidRDefault="00ED04FC">
    <w:pPr>
      <w:pStyle w:val="Header"/>
    </w:pPr>
    <w:r>
      <w:t>PUC Docket No. </w:t>
    </w:r>
    <w:r w:rsidR="0094663F">
      <w:t>48454</w:t>
    </w:r>
    <w:r>
      <w:tab/>
    </w:r>
    <w:r w:rsidR="00B12AC5">
      <w:t xml:space="preserve">Draft Preliminary </w:t>
    </w:r>
    <w:r>
      <w:t>Order</w:t>
    </w:r>
    <w:r>
      <w:tab/>
      <w:t xml:space="preserve">Page </w:t>
    </w:r>
    <w:r>
      <w:fldChar w:fldCharType="begin"/>
    </w:r>
    <w:r>
      <w:instrText xml:space="preserve"> PAGE   \* MERGEFORMAT </w:instrText>
    </w:r>
    <w:r>
      <w:fldChar w:fldCharType="separate"/>
    </w:r>
    <w:r w:rsidR="0067692D">
      <w:rPr>
        <w:noProof/>
      </w:rPr>
      <w:t>7</w:t>
    </w:r>
    <w:r>
      <w:fldChar w:fldCharType="end"/>
    </w:r>
    <w:r>
      <w:t xml:space="preserve"> of </w:t>
    </w:r>
    <w:fldSimple w:instr=" NUMPAGES   \* MERGEFORMAT ">
      <w:r w:rsidR="0067692D">
        <w:rPr>
          <w:noProof/>
        </w:rPr>
        <w:t>7</w:t>
      </w:r>
    </w:fldSimple>
  </w:p>
  <w:p w:rsidR="00ED04FC" w:rsidRDefault="00ED04FC">
    <w:pPr>
      <w:pStyle w:val="Header"/>
    </w:pPr>
    <w:r>
      <w:t>SOAH Docket No. 473-1</w:t>
    </w:r>
    <w:r w:rsidR="007E7427">
      <w:t>9</w:t>
    </w:r>
    <w:r>
      <w:t>-</w:t>
    </w:r>
    <w:r w:rsidR="0094663F">
      <w:t>6762.WS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19A6BD7"/>
    <w:multiLevelType w:val="hybridMultilevel"/>
    <w:tmpl w:val="B538C9E0"/>
    <w:lvl w:ilvl="0" w:tplc="A78657C6">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1315B5"/>
    <w:multiLevelType w:val="hybridMultilevel"/>
    <w:tmpl w:val="1EC4C7B8"/>
    <w:lvl w:ilvl="0" w:tplc="08DC4E28">
      <w:start w:val="1"/>
      <w:numFmt w:val="upperRoman"/>
      <w:lvlText w:val="%1."/>
      <w:lvlJc w:val="right"/>
      <w:pPr>
        <w:ind w:left="720" w:hanging="360"/>
      </w:pPr>
    </w:lvl>
    <w:lvl w:ilvl="1" w:tplc="D3864400" w:tentative="1">
      <w:start w:val="1"/>
      <w:numFmt w:val="lowerLetter"/>
      <w:lvlText w:val="%2."/>
      <w:lvlJc w:val="left"/>
      <w:pPr>
        <w:ind w:left="1440" w:hanging="360"/>
      </w:pPr>
    </w:lvl>
    <w:lvl w:ilvl="2" w:tplc="21DECCCA" w:tentative="1">
      <w:start w:val="1"/>
      <w:numFmt w:val="lowerRoman"/>
      <w:lvlText w:val="%3."/>
      <w:lvlJc w:val="right"/>
      <w:pPr>
        <w:ind w:left="2160" w:hanging="180"/>
      </w:pPr>
    </w:lvl>
    <w:lvl w:ilvl="3" w:tplc="21344564" w:tentative="1">
      <w:start w:val="1"/>
      <w:numFmt w:val="decimal"/>
      <w:lvlText w:val="%4."/>
      <w:lvlJc w:val="left"/>
      <w:pPr>
        <w:ind w:left="2880" w:hanging="360"/>
      </w:pPr>
    </w:lvl>
    <w:lvl w:ilvl="4" w:tplc="9C82C5DE" w:tentative="1">
      <w:start w:val="1"/>
      <w:numFmt w:val="lowerLetter"/>
      <w:lvlText w:val="%5."/>
      <w:lvlJc w:val="left"/>
      <w:pPr>
        <w:ind w:left="3600" w:hanging="360"/>
      </w:pPr>
    </w:lvl>
    <w:lvl w:ilvl="5" w:tplc="68C4C506" w:tentative="1">
      <w:start w:val="1"/>
      <w:numFmt w:val="lowerRoman"/>
      <w:lvlText w:val="%6."/>
      <w:lvlJc w:val="right"/>
      <w:pPr>
        <w:ind w:left="4320" w:hanging="180"/>
      </w:pPr>
    </w:lvl>
    <w:lvl w:ilvl="6" w:tplc="0016AD26" w:tentative="1">
      <w:start w:val="1"/>
      <w:numFmt w:val="decimal"/>
      <w:lvlText w:val="%7."/>
      <w:lvlJc w:val="left"/>
      <w:pPr>
        <w:ind w:left="5040" w:hanging="360"/>
      </w:pPr>
    </w:lvl>
    <w:lvl w:ilvl="7" w:tplc="12FCB7E8" w:tentative="1">
      <w:start w:val="1"/>
      <w:numFmt w:val="lowerLetter"/>
      <w:lvlText w:val="%8."/>
      <w:lvlJc w:val="left"/>
      <w:pPr>
        <w:ind w:left="5760" w:hanging="360"/>
      </w:pPr>
    </w:lvl>
    <w:lvl w:ilvl="8" w:tplc="D0305862" w:tentative="1">
      <w:start w:val="1"/>
      <w:numFmt w:val="lowerRoman"/>
      <w:lvlText w:val="%9."/>
      <w:lvlJc w:val="right"/>
      <w:pPr>
        <w:ind w:left="6480" w:hanging="180"/>
      </w:pPr>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FF6204A"/>
    <w:multiLevelType w:val="hybridMultilevel"/>
    <w:tmpl w:val="5F64109C"/>
    <w:lvl w:ilvl="0" w:tplc="E542C03C">
      <w:start w:val="1"/>
      <w:numFmt w:val="decimal"/>
      <w:pStyle w:val="ThresholdIssue"/>
      <w:lvlText w:val="%1."/>
      <w:lvlJc w:val="left"/>
      <w:pPr>
        <w:tabs>
          <w:tab w:val="num" w:pos="720"/>
        </w:tabs>
        <w:ind w:left="720" w:hanging="720"/>
      </w:pPr>
      <w:rPr>
        <w:rFonts w:hint="default"/>
        <w:b/>
      </w:rPr>
    </w:lvl>
    <w:lvl w:ilvl="1" w:tplc="6F941AFE" w:tentative="1">
      <w:start w:val="1"/>
      <w:numFmt w:val="lowerLetter"/>
      <w:lvlText w:val="%2."/>
      <w:lvlJc w:val="left"/>
      <w:pPr>
        <w:tabs>
          <w:tab w:val="num" w:pos="720"/>
        </w:tabs>
        <w:ind w:left="720" w:hanging="360"/>
      </w:pPr>
    </w:lvl>
    <w:lvl w:ilvl="2" w:tplc="C23C2D40" w:tentative="1">
      <w:start w:val="1"/>
      <w:numFmt w:val="lowerRoman"/>
      <w:lvlText w:val="%3."/>
      <w:lvlJc w:val="right"/>
      <w:pPr>
        <w:tabs>
          <w:tab w:val="num" w:pos="1440"/>
        </w:tabs>
        <w:ind w:left="1440" w:hanging="180"/>
      </w:pPr>
    </w:lvl>
    <w:lvl w:ilvl="3" w:tplc="3CBECA7A" w:tentative="1">
      <w:start w:val="1"/>
      <w:numFmt w:val="decimal"/>
      <w:lvlText w:val="%4."/>
      <w:lvlJc w:val="left"/>
      <w:pPr>
        <w:tabs>
          <w:tab w:val="num" w:pos="2160"/>
        </w:tabs>
        <w:ind w:left="2160" w:hanging="360"/>
      </w:pPr>
    </w:lvl>
    <w:lvl w:ilvl="4" w:tplc="5D18E470" w:tentative="1">
      <w:start w:val="1"/>
      <w:numFmt w:val="lowerLetter"/>
      <w:lvlText w:val="%5."/>
      <w:lvlJc w:val="left"/>
      <w:pPr>
        <w:tabs>
          <w:tab w:val="num" w:pos="2880"/>
        </w:tabs>
        <w:ind w:left="2880" w:hanging="360"/>
      </w:pPr>
    </w:lvl>
    <w:lvl w:ilvl="5" w:tplc="55AAC724" w:tentative="1">
      <w:start w:val="1"/>
      <w:numFmt w:val="lowerRoman"/>
      <w:lvlText w:val="%6."/>
      <w:lvlJc w:val="right"/>
      <w:pPr>
        <w:tabs>
          <w:tab w:val="num" w:pos="3600"/>
        </w:tabs>
        <w:ind w:left="3600" w:hanging="180"/>
      </w:pPr>
    </w:lvl>
    <w:lvl w:ilvl="6" w:tplc="5AAAC3D2" w:tentative="1">
      <w:start w:val="1"/>
      <w:numFmt w:val="decimal"/>
      <w:lvlText w:val="%7."/>
      <w:lvlJc w:val="left"/>
      <w:pPr>
        <w:tabs>
          <w:tab w:val="num" w:pos="4320"/>
        </w:tabs>
        <w:ind w:left="4320" w:hanging="360"/>
      </w:pPr>
    </w:lvl>
    <w:lvl w:ilvl="7" w:tplc="CDCED900" w:tentative="1">
      <w:start w:val="1"/>
      <w:numFmt w:val="lowerLetter"/>
      <w:lvlText w:val="%8."/>
      <w:lvlJc w:val="left"/>
      <w:pPr>
        <w:tabs>
          <w:tab w:val="num" w:pos="5040"/>
        </w:tabs>
        <w:ind w:left="5040" w:hanging="360"/>
      </w:pPr>
    </w:lvl>
    <w:lvl w:ilvl="8" w:tplc="81E803AC" w:tentative="1">
      <w:start w:val="1"/>
      <w:numFmt w:val="lowerRoman"/>
      <w:lvlText w:val="%9."/>
      <w:lvlJc w:val="right"/>
      <w:pPr>
        <w:tabs>
          <w:tab w:val="num" w:pos="5760"/>
        </w:tabs>
        <w:ind w:left="5760" w:hanging="180"/>
      </w:pPr>
    </w:lvl>
  </w:abstractNum>
  <w:abstractNum w:abstractNumId="7"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9"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3"/>
  </w:num>
  <w:num w:numId="2">
    <w:abstractNumId w:val="4"/>
  </w:num>
  <w:num w:numId="3">
    <w:abstractNumId w:val="1"/>
  </w:num>
  <w:num w:numId="4">
    <w:abstractNumId w:val="9"/>
  </w:num>
  <w:num w:numId="5">
    <w:abstractNumId w:val="4"/>
  </w:num>
  <w:num w:numId="6">
    <w:abstractNumId w:val="7"/>
  </w:num>
  <w:num w:numId="7">
    <w:abstractNumId w:val="8"/>
  </w:num>
  <w:num w:numId="8">
    <w:abstractNumId w:val="0"/>
  </w:num>
  <w:num w:numId="9">
    <w:abstractNumId w:val="6"/>
  </w:num>
  <w:num w:numId="10">
    <w:abstractNumId w:val="5"/>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025"/>
    <w:rsid w:val="000250F7"/>
    <w:rsid w:val="000357D6"/>
    <w:rsid w:val="00061A6C"/>
    <w:rsid w:val="00072737"/>
    <w:rsid w:val="0009790A"/>
    <w:rsid w:val="000A28A3"/>
    <w:rsid w:val="000C08BC"/>
    <w:rsid w:val="000E5DBE"/>
    <w:rsid w:val="001169CA"/>
    <w:rsid w:val="001177ED"/>
    <w:rsid w:val="00121C25"/>
    <w:rsid w:val="00160DCD"/>
    <w:rsid w:val="0016256D"/>
    <w:rsid w:val="00165E73"/>
    <w:rsid w:val="001803B9"/>
    <w:rsid w:val="0019292F"/>
    <w:rsid w:val="001A517C"/>
    <w:rsid w:val="001B136E"/>
    <w:rsid w:val="001B2125"/>
    <w:rsid w:val="001E360C"/>
    <w:rsid w:val="001F10CC"/>
    <w:rsid w:val="001F21A5"/>
    <w:rsid w:val="002326F6"/>
    <w:rsid w:val="00252023"/>
    <w:rsid w:val="00256CA9"/>
    <w:rsid w:val="00261999"/>
    <w:rsid w:val="00266F9F"/>
    <w:rsid w:val="002714D5"/>
    <w:rsid w:val="0027579B"/>
    <w:rsid w:val="0027614A"/>
    <w:rsid w:val="0029749B"/>
    <w:rsid w:val="002A09CF"/>
    <w:rsid w:val="002D4C4B"/>
    <w:rsid w:val="002E1D07"/>
    <w:rsid w:val="0030339E"/>
    <w:rsid w:val="00306E10"/>
    <w:rsid w:val="003122C2"/>
    <w:rsid w:val="00312838"/>
    <w:rsid w:val="00321DA4"/>
    <w:rsid w:val="00337AD4"/>
    <w:rsid w:val="00366741"/>
    <w:rsid w:val="003917F6"/>
    <w:rsid w:val="00433B5E"/>
    <w:rsid w:val="00435A0D"/>
    <w:rsid w:val="00454FBF"/>
    <w:rsid w:val="00460626"/>
    <w:rsid w:val="00463126"/>
    <w:rsid w:val="0046644C"/>
    <w:rsid w:val="00492734"/>
    <w:rsid w:val="00496D9F"/>
    <w:rsid w:val="00497F2B"/>
    <w:rsid w:val="004A4DA3"/>
    <w:rsid w:val="004B647F"/>
    <w:rsid w:val="004E082A"/>
    <w:rsid w:val="005073D3"/>
    <w:rsid w:val="00516EDA"/>
    <w:rsid w:val="005512EB"/>
    <w:rsid w:val="0058355F"/>
    <w:rsid w:val="005C3512"/>
    <w:rsid w:val="005E293E"/>
    <w:rsid w:val="005E6D4A"/>
    <w:rsid w:val="00604A1C"/>
    <w:rsid w:val="00615148"/>
    <w:rsid w:val="0061739F"/>
    <w:rsid w:val="0062094E"/>
    <w:rsid w:val="0062202F"/>
    <w:rsid w:val="00636A7A"/>
    <w:rsid w:val="006717D8"/>
    <w:rsid w:val="0067692D"/>
    <w:rsid w:val="00677B5E"/>
    <w:rsid w:val="006C0025"/>
    <w:rsid w:val="006D452D"/>
    <w:rsid w:val="006F1F50"/>
    <w:rsid w:val="006F2036"/>
    <w:rsid w:val="007045BB"/>
    <w:rsid w:val="007572FC"/>
    <w:rsid w:val="00772E16"/>
    <w:rsid w:val="007D618F"/>
    <w:rsid w:val="007E7427"/>
    <w:rsid w:val="007F0C15"/>
    <w:rsid w:val="0080046C"/>
    <w:rsid w:val="00817717"/>
    <w:rsid w:val="00823E25"/>
    <w:rsid w:val="00826B62"/>
    <w:rsid w:val="00832431"/>
    <w:rsid w:val="00841C7C"/>
    <w:rsid w:val="008453B7"/>
    <w:rsid w:val="008660D4"/>
    <w:rsid w:val="008738BF"/>
    <w:rsid w:val="00887949"/>
    <w:rsid w:val="00895F8C"/>
    <w:rsid w:val="008B5268"/>
    <w:rsid w:val="008B7933"/>
    <w:rsid w:val="008D1724"/>
    <w:rsid w:val="008E1B47"/>
    <w:rsid w:val="008E2E21"/>
    <w:rsid w:val="008F67AC"/>
    <w:rsid w:val="008F7780"/>
    <w:rsid w:val="00907433"/>
    <w:rsid w:val="0091738C"/>
    <w:rsid w:val="00933563"/>
    <w:rsid w:val="0094663F"/>
    <w:rsid w:val="00965D4B"/>
    <w:rsid w:val="009727E0"/>
    <w:rsid w:val="009C1919"/>
    <w:rsid w:val="009D1408"/>
    <w:rsid w:val="00A035EA"/>
    <w:rsid w:val="00A2292C"/>
    <w:rsid w:val="00A23A08"/>
    <w:rsid w:val="00A26996"/>
    <w:rsid w:val="00A271C1"/>
    <w:rsid w:val="00A30BED"/>
    <w:rsid w:val="00A40798"/>
    <w:rsid w:val="00A602DF"/>
    <w:rsid w:val="00A753E6"/>
    <w:rsid w:val="00A84067"/>
    <w:rsid w:val="00AE37D1"/>
    <w:rsid w:val="00AF1363"/>
    <w:rsid w:val="00B02356"/>
    <w:rsid w:val="00B12A44"/>
    <w:rsid w:val="00B12AC5"/>
    <w:rsid w:val="00B15180"/>
    <w:rsid w:val="00B1629A"/>
    <w:rsid w:val="00B22348"/>
    <w:rsid w:val="00B30366"/>
    <w:rsid w:val="00B564FD"/>
    <w:rsid w:val="00B71CA8"/>
    <w:rsid w:val="00BA0D52"/>
    <w:rsid w:val="00BD0D85"/>
    <w:rsid w:val="00BF17B1"/>
    <w:rsid w:val="00C00384"/>
    <w:rsid w:val="00C06755"/>
    <w:rsid w:val="00C1275D"/>
    <w:rsid w:val="00C3199B"/>
    <w:rsid w:val="00C342ED"/>
    <w:rsid w:val="00C54659"/>
    <w:rsid w:val="00C90A9A"/>
    <w:rsid w:val="00C94B31"/>
    <w:rsid w:val="00CD4736"/>
    <w:rsid w:val="00CE4E80"/>
    <w:rsid w:val="00CF6DEB"/>
    <w:rsid w:val="00D03394"/>
    <w:rsid w:val="00D1503F"/>
    <w:rsid w:val="00D3301C"/>
    <w:rsid w:val="00D451DC"/>
    <w:rsid w:val="00D706B4"/>
    <w:rsid w:val="00D71498"/>
    <w:rsid w:val="00D77D9A"/>
    <w:rsid w:val="00D9629C"/>
    <w:rsid w:val="00DD4DF6"/>
    <w:rsid w:val="00DF1D74"/>
    <w:rsid w:val="00E110E4"/>
    <w:rsid w:val="00E14DA7"/>
    <w:rsid w:val="00E167F4"/>
    <w:rsid w:val="00E45836"/>
    <w:rsid w:val="00E501AF"/>
    <w:rsid w:val="00E85462"/>
    <w:rsid w:val="00E85727"/>
    <w:rsid w:val="00E930F3"/>
    <w:rsid w:val="00EA20F0"/>
    <w:rsid w:val="00EB3FB6"/>
    <w:rsid w:val="00EC249C"/>
    <w:rsid w:val="00ED04FC"/>
    <w:rsid w:val="00ED6FE1"/>
    <w:rsid w:val="00EE5DDA"/>
    <w:rsid w:val="00EF78FD"/>
    <w:rsid w:val="00F24715"/>
    <w:rsid w:val="00F3094E"/>
    <w:rsid w:val="00F37AA1"/>
    <w:rsid w:val="00F5391D"/>
    <w:rsid w:val="00F75580"/>
    <w:rsid w:val="00FA1E83"/>
    <w:rsid w:val="00FA48FC"/>
    <w:rsid w:val="00FC561C"/>
    <w:rsid w:val="00FE4318"/>
    <w:rsid w:val="00FE4B1A"/>
    <w:rsid w:val="00FF1816"/>
    <w:rsid w:val="00FF4271"/>
    <w:rsid w:val="00FF64CB"/>
    <w:rsid w:val="00FF6A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F7780"/>
    <w:pPr>
      <w:spacing w:before="120"/>
      <w:ind w:firstLine="720"/>
      <w:jc w:val="both"/>
    </w:pPr>
    <w:rPr>
      <w:sz w:val="20"/>
      <w:szCs w:val="20"/>
    </w:rPr>
  </w:style>
  <w:style w:type="character" w:customStyle="1" w:styleId="FootnoteTextChar">
    <w:name w:val="Footnote Text Char"/>
    <w:basedOn w:val="DefaultParagraphFont"/>
    <w:link w:val="FootnoteText"/>
    <w:uiPriority w:val="99"/>
    <w:rsid w:val="008F7780"/>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 w:type="character" w:styleId="Hyperlink">
    <w:name w:val="Hyperlink"/>
    <w:basedOn w:val="DefaultParagraphFont"/>
    <w:uiPriority w:val="99"/>
    <w:unhideWhenUsed/>
    <w:rsid w:val="00E85462"/>
    <w:rPr>
      <w:color w:val="0563C1" w:themeColor="hyperlink"/>
      <w:u w:val="single"/>
    </w:rPr>
  </w:style>
  <w:style w:type="character" w:styleId="UnresolvedMention">
    <w:name w:val="Unresolved Mention"/>
    <w:basedOn w:val="DefaultParagraphFont"/>
    <w:uiPriority w:val="99"/>
    <w:semiHidden/>
    <w:unhideWhenUsed/>
    <w:rsid w:val="00E854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7841F-6E88-4EC4-9BB1-C700BFE45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1379</Words>
  <Characters>7863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2019-09-18T12:04:00Z</dcterms:created>
  <dcterms:modified xsi:type="dcterms:W3CDTF">2019-09-18T15:15:00Z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